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518C" w14:textId="585E97AB" w:rsidR="00E06DF7" w:rsidRDefault="00033E7C" w:rsidP="00E06DF7">
      <w:pPr>
        <w:framePr w:h="0" w:hSpace="180" w:wrap="around" w:vAnchor="text" w:hAnchor="page" w:x="1441" w:y="1"/>
        <w:shd w:val="clear" w:color="auto" w:fill="FFFFFF"/>
        <w:jc w:val="both"/>
        <w:rPr>
          <w:sz w:val="36"/>
        </w:rPr>
      </w:pPr>
      <w:r>
        <w:object w:dxaOrig="4798" w:dyaOrig="4911" w14:anchorId="4C0B2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5.75pt" o:ole="" fillcolor="window">
            <v:imagedata r:id="rId12" o:title=""/>
          </v:shape>
          <o:OLEObject Type="Embed" ProgID="MSDraw" ShapeID="_x0000_i1025" DrawAspect="Content" ObjectID="_1681129026" r:id="rId13">
            <o:FieldCodes>\* mergeformat</o:FieldCodes>
          </o:OLEObject>
        </w:object>
      </w:r>
    </w:p>
    <w:p w14:paraId="464F3B71" w14:textId="77777777" w:rsidR="0000359B" w:rsidRDefault="00033E7C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  <w:r w:rsidRPr="00033E7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LAKES ENTRANCE PRIMARY SCHOOL</w:t>
      </w:r>
      <w:r w:rsidR="002A464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COUNCIL 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–</w:t>
      </w:r>
      <w:r w:rsidR="002A464C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OSHC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</w:t>
      </w:r>
    </w:p>
    <w:p w14:paraId="5DE0DC35" w14:textId="352A7D7D" w:rsidR="0000359B" w:rsidRDefault="00E337D6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>BOOKING</w:t>
      </w:r>
      <w:r w:rsidR="0000359B"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  <w:t xml:space="preserve"> POLICY</w:t>
      </w:r>
    </w:p>
    <w:p w14:paraId="25E513C7" w14:textId="77777777" w:rsidR="005C01BE" w:rsidRDefault="005C01BE" w:rsidP="0000359B">
      <w:pPr>
        <w:jc w:val="center"/>
        <w:outlineLvl w:val="1"/>
        <w:rPr>
          <w:rFonts w:ascii="Times New Roman" w:eastAsiaTheme="majorEastAsia" w:hAnsi="Times New Roman" w:cs="Times New Roman"/>
          <w:b/>
          <w:caps/>
          <w:color w:val="1B7901"/>
          <w:sz w:val="32"/>
          <w:szCs w:val="32"/>
        </w:rPr>
      </w:pPr>
    </w:p>
    <w:p w14:paraId="7053E63E" w14:textId="0A213684" w:rsidR="00CE1B2B" w:rsidRPr="00033E7C" w:rsidRDefault="00CE1B2B" w:rsidP="00181B61">
      <w:pPr>
        <w:outlineLvl w:val="1"/>
        <w:rPr>
          <w:rFonts w:ascii="Times New Roman" w:hAnsi="Times New Roman" w:cs="Times New Roman"/>
          <w:b/>
          <w:bCs/>
          <w:color w:val="1B7901"/>
          <w:u w:val="single"/>
        </w:rPr>
      </w:pPr>
    </w:p>
    <w:tbl>
      <w:tblPr>
        <w:tblStyle w:val="TableGrid"/>
        <w:tblpPr w:leftFromText="180" w:rightFromText="180" w:vertAnchor="page" w:horzAnchor="margin" w:tblpY="3916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CE1B2B" w:rsidRPr="00203EF6" w14:paraId="126C0E60" w14:textId="77777777" w:rsidTr="001F3D03">
        <w:trPr>
          <w:trHeight w:val="940"/>
        </w:trPr>
        <w:tc>
          <w:tcPr>
            <w:tcW w:w="9531" w:type="dxa"/>
          </w:tcPr>
          <w:p w14:paraId="7A616BF2" w14:textId="77777777" w:rsidR="0000359B" w:rsidRPr="00203EF6" w:rsidRDefault="0000359B" w:rsidP="0000359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203EF6">
              <w:rPr>
                <w:rFonts w:ascii="Times New Roman" w:hAnsi="Times New Roman"/>
                <w:b/>
                <w:bCs/>
                <w:color w:val="1B7901"/>
                <w:sz w:val="22"/>
                <w:szCs w:val="22"/>
                <w:u w:val="single"/>
              </w:rPr>
              <w:t>PURPOSE</w:t>
            </w:r>
            <w:r w:rsidRPr="00203EF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0776B15" w14:textId="77777777" w:rsidR="0000359B" w:rsidRPr="00203EF6" w:rsidRDefault="0000359B" w:rsidP="0000359B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</w:p>
          <w:p w14:paraId="06E08113" w14:textId="564808FD" w:rsidR="00181B61" w:rsidRPr="00E337D6" w:rsidRDefault="00E337D6" w:rsidP="00181B61">
            <w:pPr>
              <w:jc w:val="both"/>
              <w:outlineLvl w:val="1"/>
              <w:rPr>
                <w:rFonts w:ascii="Times New Roman" w:eastAsiaTheme="majorEastAsia" w:hAnsi="Times New Roman" w:cs="Times New Roman"/>
                <w:b/>
                <w:caps/>
                <w:u w:val="single"/>
              </w:rPr>
            </w:pPr>
            <w:r w:rsidRPr="00E337D6">
              <w:rPr>
                <w:rFonts w:ascii="Times New Roman" w:hAnsi="Times New Roman" w:cs="Times New Roman"/>
              </w:rPr>
              <w:t xml:space="preserve">This policy provides information to parents and carers on the </w:t>
            </w:r>
            <w:r w:rsidRPr="00E337D6">
              <w:rPr>
                <w:rFonts w:ascii="Times New Roman" w:hAnsi="Times New Roman" w:cs="Times New Roman"/>
              </w:rPr>
              <w:t>Lakes Entrance Primary School Council</w:t>
            </w:r>
            <w:r w:rsidRPr="00E337D6">
              <w:rPr>
                <w:rFonts w:ascii="Times New Roman" w:hAnsi="Times New Roman" w:cs="Times New Roman"/>
              </w:rPr>
              <w:t xml:space="preserve">  Outside of School Hours Care (OSHC) policy with regards to requesting and accepting bookings, including prioritisation of bookings</w:t>
            </w:r>
          </w:p>
          <w:p w14:paraId="57F5F95B" w14:textId="1916E948" w:rsidR="0000359B" w:rsidRPr="00203EF6" w:rsidRDefault="0000359B" w:rsidP="0000359B">
            <w:pPr>
              <w:pStyle w:val="NoSpacing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05229E45" w14:textId="59EB55DB" w:rsidR="00CE1B2B" w:rsidRPr="00203EF6" w:rsidRDefault="00CE1B2B" w:rsidP="00CE1B2B">
      <w:pPr>
        <w:jc w:val="both"/>
        <w:outlineLvl w:val="1"/>
        <w:rPr>
          <w:rFonts w:ascii="Times New Roman" w:eastAsiaTheme="majorEastAsia" w:hAnsi="Times New Roman" w:cs="Times New Roman"/>
          <w:b/>
          <w:caps/>
          <w:color w:val="1B7901"/>
          <w:u w:val="single"/>
        </w:rPr>
      </w:pPr>
      <w:r w:rsidRPr="00203EF6">
        <w:rPr>
          <w:rFonts w:ascii="Times New Roman" w:eastAsiaTheme="majorEastAsia" w:hAnsi="Times New Roman" w:cs="Times New Roman"/>
          <w:b/>
          <w:caps/>
          <w:color w:val="1B7901"/>
          <w:u w:val="single"/>
        </w:rPr>
        <w:t>Policy</w:t>
      </w:r>
    </w:p>
    <w:p w14:paraId="6D7D0F5E" w14:textId="0F428AF3" w:rsidR="00E337D6" w:rsidRPr="00AF5DA7" w:rsidRDefault="00E337D6" w:rsidP="00E337D6">
      <w:pPr>
        <w:spacing w:after="0" w:line="276" w:lineRule="auto"/>
        <w:rPr>
          <w:rFonts w:ascii="Times New Roman" w:hAnsi="Times New Roman" w:cs="Times New Roman"/>
        </w:rPr>
      </w:pPr>
      <w:r w:rsidRPr="00AF5DA7">
        <w:rPr>
          <w:rFonts w:ascii="Times New Roman" w:hAnsi="Times New Roman" w:cs="Times New Roman"/>
        </w:rPr>
        <w:t>Lakes Entrance Primary School Council</w:t>
      </w:r>
      <w:r w:rsidRPr="00AF5DA7">
        <w:rPr>
          <w:rFonts w:ascii="Times New Roman" w:hAnsi="Times New Roman" w:cs="Times New Roman"/>
        </w:rPr>
        <w:t xml:space="preserve"> OSHC is a not-for-profit service that is committed to accurate, timely and equitable access to bookings where possible.</w:t>
      </w:r>
    </w:p>
    <w:p w14:paraId="71C38BF8" w14:textId="77777777" w:rsidR="00E337D6" w:rsidRPr="00AF5DA7" w:rsidRDefault="00E337D6" w:rsidP="00E337D6">
      <w:pPr>
        <w:spacing w:after="0" w:line="276" w:lineRule="auto"/>
        <w:rPr>
          <w:rFonts w:ascii="Times New Roman" w:hAnsi="Times New Roman" w:cs="Times New Roman"/>
        </w:rPr>
      </w:pPr>
    </w:p>
    <w:p w14:paraId="75DDAEFD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>The following processes will be followed for service bookings:</w:t>
      </w:r>
    </w:p>
    <w:p w14:paraId="548F1087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>Bookings can be requested in person, over the phone or in writing via email to the OSHC service</w:t>
      </w:r>
    </w:p>
    <w:p w14:paraId="0F79E52F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>Not all requested bookings are able to be met, depending on the licensed capacity of the service and the staffing arrangements per session</w:t>
      </w:r>
    </w:p>
    <w:p w14:paraId="623BC3E1" w14:textId="20E82BE8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>Lakes Entrance Primary School Council</w:t>
      </w:r>
      <w:r w:rsidRPr="00AF5DA7">
        <w:rPr>
          <w:rFonts w:ascii="Times New Roman" w:hAnsi="Times New Roman" w:cs="Times New Roman"/>
        </w:rPr>
        <w:t xml:space="preserve"> OSHC will endeavour to meet all booking requests where practical</w:t>
      </w:r>
    </w:p>
    <w:p w14:paraId="29D684D4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>Permanent bookings are defined as bookings that are the same each week during school term. For example, every After School Care session on Tuesday and Wednesdays each week</w:t>
      </w:r>
    </w:p>
    <w:p w14:paraId="25B276AF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>Permanent bookings will be captured in the enrolment form</w:t>
      </w:r>
    </w:p>
    <w:p w14:paraId="4A7FDDDB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 xml:space="preserve">Casual bookings are defined as bookings that change week to week </w:t>
      </w:r>
    </w:p>
    <w:p w14:paraId="266F02F0" w14:textId="6808754C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hAnsi="Times New Roman" w:cs="Times New Roman"/>
        </w:rPr>
        <w:t xml:space="preserve">Casual bookings or Before and After School Care </w:t>
      </w:r>
      <w:r w:rsidRPr="00AF5DA7">
        <w:rPr>
          <w:rFonts w:ascii="Times New Roman" w:hAnsi="Times New Roman" w:cs="Times New Roman"/>
        </w:rPr>
        <w:t xml:space="preserve">may </w:t>
      </w:r>
      <w:r w:rsidRPr="00AF5DA7">
        <w:rPr>
          <w:rFonts w:ascii="Times New Roman" w:hAnsi="Times New Roman" w:cs="Times New Roman"/>
        </w:rPr>
        <w:t>attract a higher fee due to the nature of the booking and irregular pattern of attendance</w:t>
      </w:r>
    </w:p>
    <w:p w14:paraId="0BD065A4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eastAsia="Calibri" w:hAnsi="Times New Roman" w:cs="Times New Roman"/>
          <w:bCs/>
          <w:lang w:val="en-US"/>
        </w:rPr>
        <w:t>Permanent bookings can be adjusted at any time, provided the identified notice period is adhered to in order to avoid cancellation fees</w:t>
      </w:r>
    </w:p>
    <w:p w14:paraId="54D7FDBF" w14:textId="77777777" w:rsidR="00E337D6" w:rsidRPr="00AF5DA7" w:rsidRDefault="00E337D6" w:rsidP="00E337D6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eastAsia="Calibri" w:hAnsi="Times New Roman" w:cs="Times New Roman"/>
          <w:bCs/>
          <w:lang w:val="en-US"/>
        </w:rPr>
        <w:t>Notice for booking changes must occur as follows:</w:t>
      </w:r>
    </w:p>
    <w:p w14:paraId="7D2E78ED" w14:textId="0D54838F" w:rsidR="00E337D6" w:rsidRPr="00AF5DA7" w:rsidRDefault="00E337D6" w:rsidP="00E337D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eastAsia="Calibri" w:hAnsi="Times New Roman" w:cs="Times New Roman"/>
          <w:bCs/>
          <w:lang w:val="en-US"/>
        </w:rPr>
        <w:t>Notify OSHC via email or p</w:t>
      </w:r>
      <w:r w:rsidRPr="00AF5DA7">
        <w:rPr>
          <w:rFonts w:ascii="Times New Roman" w:eastAsia="Calibri" w:hAnsi="Times New Roman" w:cs="Times New Roman"/>
          <w:bCs/>
          <w:lang w:val="en-US"/>
        </w:rPr>
        <w:t xml:space="preserve">hone prior to 4pm, </w:t>
      </w:r>
      <w:r w:rsidRPr="00AF5DA7">
        <w:rPr>
          <w:rFonts w:ascii="Times New Roman" w:eastAsia="Calibri" w:hAnsi="Times New Roman" w:cs="Times New Roman"/>
          <w:bCs/>
          <w:lang w:val="en-US"/>
        </w:rPr>
        <w:t>one day prior for booking changes for Before School Care and After School Care sessions</w:t>
      </w:r>
    </w:p>
    <w:p w14:paraId="4E61D35C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</w:p>
    <w:p w14:paraId="19F6441F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AF5DA7">
        <w:rPr>
          <w:rFonts w:ascii="Times New Roman" w:eastAsia="Calibri" w:hAnsi="Times New Roman" w:cs="Times New Roman"/>
          <w:b/>
          <w:lang w:val="en-US"/>
        </w:rPr>
        <w:t>Access and Inclusion</w:t>
      </w:r>
    </w:p>
    <w:p w14:paraId="17A0089F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</w:p>
    <w:p w14:paraId="71776771" w14:textId="34EEA6CC" w:rsidR="00E337D6" w:rsidRPr="00AF5DA7" w:rsidRDefault="00E337D6" w:rsidP="00E337D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r w:rsidRPr="00AF5DA7">
        <w:rPr>
          <w:rFonts w:ascii="Times New Roman" w:eastAsia="Calibri" w:hAnsi="Times New Roman" w:cs="Times New Roman"/>
          <w:bCs/>
        </w:rPr>
        <w:t>Lakes Entrance Primary School</w:t>
      </w:r>
      <w:r w:rsidRPr="00AF5DA7">
        <w:rPr>
          <w:rFonts w:ascii="Times New Roman" w:eastAsia="Calibri" w:hAnsi="Times New Roman" w:cs="Times New Roman"/>
          <w:bCs/>
        </w:rPr>
        <w:t xml:space="preserve"> OSHC has a licensed capacity for the number of children a service can support at one time </w:t>
      </w:r>
    </w:p>
    <w:p w14:paraId="0CC85649" w14:textId="48FA0FE1" w:rsidR="00E337D6" w:rsidRPr="00AF5DA7" w:rsidRDefault="00E337D6" w:rsidP="00E337D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r w:rsidRPr="00AF5DA7">
        <w:rPr>
          <w:rFonts w:ascii="Times New Roman" w:eastAsia="Calibri" w:hAnsi="Times New Roman" w:cs="Times New Roman"/>
          <w:bCs/>
        </w:rPr>
        <w:t xml:space="preserve">In situations where the demand exceeds places, </w:t>
      </w:r>
      <w:r w:rsidRPr="00AF5DA7">
        <w:rPr>
          <w:rFonts w:ascii="Times New Roman" w:eastAsia="Calibri" w:hAnsi="Times New Roman" w:cs="Times New Roman"/>
          <w:bCs/>
        </w:rPr>
        <w:t>Lakes Entrance Primary School Council OSHC</w:t>
      </w:r>
      <w:r w:rsidRPr="00AF5DA7">
        <w:rPr>
          <w:rFonts w:ascii="Times New Roman" w:eastAsia="Calibri" w:hAnsi="Times New Roman" w:cs="Times New Roman"/>
          <w:bCs/>
        </w:rPr>
        <w:t xml:space="preserve"> will allocate bookings based on the Priority of Access Guidelines determined by the Department of Education, Skills and Employment (DESE)</w:t>
      </w:r>
    </w:p>
    <w:p w14:paraId="7CA2E849" w14:textId="77777777" w:rsidR="00E337D6" w:rsidRPr="00AF5DA7" w:rsidRDefault="00E337D6" w:rsidP="00E337D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r w:rsidRPr="00AF5DA7">
        <w:rPr>
          <w:rFonts w:ascii="Times New Roman" w:eastAsia="Calibri" w:hAnsi="Times New Roman" w:cs="Times New Roman"/>
          <w:bCs/>
        </w:rPr>
        <w:t>These guidelines will be balanced with the principles of non-discriminatory access and inclusion</w:t>
      </w:r>
    </w:p>
    <w:p w14:paraId="10B63A73" w14:textId="77777777" w:rsidR="00E337D6" w:rsidRPr="00AF5DA7" w:rsidRDefault="00E337D6" w:rsidP="00E337D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r w:rsidRPr="00AF5DA7">
        <w:rPr>
          <w:rFonts w:ascii="Times New Roman" w:eastAsia="Calibri" w:hAnsi="Times New Roman" w:cs="Times New Roman"/>
          <w:bCs/>
        </w:rPr>
        <w:t xml:space="preserve">Priority 1—a child at risk of serious abuse or neglect </w:t>
      </w:r>
    </w:p>
    <w:p w14:paraId="39ED000E" w14:textId="77777777" w:rsidR="00E337D6" w:rsidRPr="00AF5DA7" w:rsidRDefault="00E337D6" w:rsidP="00E337D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r w:rsidRPr="00AF5DA7">
        <w:rPr>
          <w:rFonts w:ascii="Times New Roman" w:eastAsia="Calibri" w:hAnsi="Times New Roman" w:cs="Times New Roman"/>
          <w:bCs/>
        </w:rPr>
        <w:lastRenderedPageBreak/>
        <w:t xml:space="preserve">Priority 2—a child of a single parent or parents who satisfy both the work, training, study test </w:t>
      </w:r>
    </w:p>
    <w:p w14:paraId="5427EE5A" w14:textId="77777777" w:rsidR="00E337D6" w:rsidRPr="00AF5DA7" w:rsidRDefault="00E337D6" w:rsidP="00E337D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r w:rsidRPr="00AF5DA7">
        <w:rPr>
          <w:rFonts w:ascii="Times New Roman" w:eastAsia="Calibri" w:hAnsi="Times New Roman" w:cs="Times New Roman"/>
          <w:bCs/>
        </w:rPr>
        <w:t>Priority 3—any other child</w:t>
      </w:r>
    </w:p>
    <w:p w14:paraId="6200B0D4" w14:textId="77777777" w:rsidR="00E337D6" w:rsidRPr="00AF5DA7" w:rsidRDefault="00E337D6" w:rsidP="00E337D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eastAsia="Calibri" w:hAnsi="Times New Roman" w:cs="Times New Roman"/>
          <w:bCs/>
        </w:rPr>
      </w:pPr>
      <w:r w:rsidRPr="00AF5DA7">
        <w:rPr>
          <w:rFonts w:ascii="Times New Roman" w:eastAsia="Calibri" w:hAnsi="Times New Roman" w:cs="Times New Roman"/>
          <w:bCs/>
        </w:rPr>
        <w:t>If your child is in the Priority 3 group, within these guidelines you may be required to vacate your place to a child who is in the Priority 1 or Priority 2 group. You will be given 14 days’ notice and your child will then be placed on a waiting list and be re-entered into the program when a place becomes available</w:t>
      </w:r>
    </w:p>
    <w:p w14:paraId="4F8CA8DB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6236AC5A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Cs/>
          <w:lang w:val="en-US"/>
        </w:rPr>
      </w:pPr>
      <w:bookmarkStart w:id="0" w:name="_GoBack"/>
      <w:r w:rsidRPr="00AF5DA7">
        <w:rPr>
          <w:rFonts w:ascii="Times New Roman" w:eastAsia="Calibri" w:hAnsi="Times New Roman" w:cs="Times New Roman"/>
          <w:bCs/>
          <w:lang w:val="en-US"/>
        </w:rPr>
        <w:t xml:space="preserve">Further information about the fees associated with session bookings can be found in the OSHC </w:t>
      </w:r>
      <w:bookmarkEnd w:id="0"/>
      <w:r w:rsidRPr="00AF5DA7">
        <w:rPr>
          <w:rFonts w:ascii="Times New Roman" w:eastAsia="Calibri" w:hAnsi="Times New Roman" w:cs="Times New Roman"/>
          <w:bCs/>
          <w:lang w:val="en-US"/>
        </w:rPr>
        <w:t xml:space="preserve">Payment of Fees Policy. </w:t>
      </w:r>
    </w:p>
    <w:p w14:paraId="667EEDE2" w14:textId="77777777" w:rsidR="00E337D6" w:rsidRPr="00AF5DA7" w:rsidRDefault="00E337D6" w:rsidP="00E337D6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</w:p>
    <w:p w14:paraId="3DA7A656" w14:textId="17D1328F" w:rsidR="00203EF6" w:rsidRPr="00AF5DA7" w:rsidRDefault="00203EF6" w:rsidP="00203EF6">
      <w:pPr>
        <w:rPr>
          <w:rFonts w:ascii="Times New Roman" w:hAnsi="Times New Roman" w:cs="Times New Roman"/>
          <w:b/>
        </w:rPr>
      </w:pPr>
      <w:r w:rsidRPr="00AF5DA7">
        <w:rPr>
          <w:rFonts w:ascii="Times New Roman" w:hAnsi="Times New Roman" w:cs="Times New Roman"/>
          <w:b/>
        </w:rPr>
        <w:t xml:space="preserve">Roles and Responsibilities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03EF6" w:rsidRPr="00AF5DA7" w14:paraId="0A0CA0DB" w14:textId="77777777" w:rsidTr="00271978">
        <w:tc>
          <w:tcPr>
            <w:tcW w:w="3397" w:type="dxa"/>
          </w:tcPr>
          <w:p w14:paraId="63A4F580" w14:textId="77777777" w:rsidR="00203EF6" w:rsidRPr="00AF5DA7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AF5DA7">
              <w:rPr>
                <w:rFonts w:ascii="Times New Roman" w:hAnsi="Times New Roman" w:cs="Times New Roman"/>
                <w:b/>
              </w:rPr>
              <w:t>Department/Role</w:t>
            </w:r>
          </w:p>
        </w:tc>
        <w:tc>
          <w:tcPr>
            <w:tcW w:w="6237" w:type="dxa"/>
          </w:tcPr>
          <w:p w14:paraId="4A6B1B8C" w14:textId="77777777" w:rsidR="00203EF6" w:rsidRPr="00AF5DA7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AF5DA7">
              <w:rPr>
                <w:rFonts w:ascii="Times New Roman" w:hAnsi="Times New Roman" w:cs="Times New Roman"/>
                <w:b/>
              </w:rPr>
              <w:t>Responsibility</w:t>
            </w:r>
          </w:p>
        </w:tc>
      </w:tr>
      <w:tr w:rsidR="00203EF6" w:rsidRPr="00AF5DA7" w14:paraId="068300D1" w14:textId="77777777" w:rsidTr="00271978">
        <w:tc>
          <w:tcPr>
            <w:tcW w:w="3397" w:type="dxa"/>
          </w:tcPr>
          <w:p w14:paraId="2183A09E" w14:textId="77777777" w:rsidR="00203EF6" w:rsidRPr="00AF5DA7" w:rsidRDefault="00203EF6" w:rsidP="00271978">
            <w:pPr>
              <w:rPr>
                <w:rFonts w:ascii="Times New Roman" w:hAnsi="Times New Roman" w:cs="Times New Roman"/>
                <w:b/>
              </w:rPr>
            </w:pPr>
            <w:r w:rsidRPr="00AF5DA7">
              <w:rPr>
                <w:rFonts w:ascii="Times New Roman" w:hAnsi="Times New Roman" w:cs="Times New Roman"/>
              </w:rPr>
              <w:t>Educators and Supervisors</w:t>
            </w:r>
          </w:p>
        </w:tc>
        <w:tc>
          <w:tcPr>
            <w:tcW w:w="6237" w:type="dxa"/>
          </w:tcPr>
          <w:p w14:paraId="12A066A5" w14:textId="77777777" w:rsidR="00AF5DA7" w:rsidRPr="00AF5DA7" w:rsidRDefault="00AF5DA7" w:rsidP="00AF5D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5DA7">
              <w:rPr>
                <w:rFonts w:ascii="Times New Roman" w:hAnsi="Times New Roman" w:cs="Times New Roman"/>
              </w:rPr>
              <w:t xml:space="preserve">Person with Management or Control, Educators, Supervisors, Nominated Supervisor/Educational Leader will oversee the implementation and service adherence to this policy </w:t>
            </w:r>
          </w:p>
          <w:p w14:paraId="3B855E64" w14:textId="2E8E7C05" w:rsidR="00203EF6" w:rsidRPr="00AF5DA7" w:rsidRDefault="00AF5DA7" w:rsidP="00AF5DA7">
            <w:pPr>
              <w:rPr>
                <w:rFonts w:ascii="Times New Roman" w:hAnsi="Times New Roman" w:cs="Times New Roman"/>
                <w:b/>
              </w:rPr>
            </w:pPr>
            <w:r w:rsidRPr="00AF5DA7">
              <w:rPr>
                <w:rFonts w:ascii="Times New Roman" w:hAnsi="Times New Roman" w:cs="Times New Roman"/>
              </w:rPr>
              <w:t>All Educators are responsible for the daily implementation of the policy when directly supervising children.</w:t>
            </w:r>
          </w:p>
        </w:tc>
      </w:tr>
      <w:tr w:rsidR="00DA49AF" w:rsidRPr="00AF5DA7" w14:paraId="5867B1AF" w14:textId="77777777" w:rsidTr="00271978">
        <w:tc>
          <w:tcPr>
            <w:tcW w:w="3397" w:type="dxa"/>
          </w:tcPr>
          <w:p w14:paraId="755644DC" w14:textId="0F47DE5C" w:rsidR="00DA49AF" w:rsidRPr="00AF5DA7" w:rsidRDefault="00DA49AF" w:rsidP="00271978">
            <w:pPr>
              <w:rPr>
                <w:rFonts w:ascii="Times New Roman" w:hAnsi="Times New Roman" w:cs="Times New Roman"/>
              </w:rPr>
            </w:pPr>
            <w:r w:rsidRPr="00AF5DA7">
              <w:rPr>
                <w:rFonts w:ascii="Times New Roman" w:hAnsi="Times New Roman" w:cs="Times New Roman"/>
              </w:rPr>
              <w:t>Parent or Carers</w:t>
            </w:r>
          </w:p>
        </w:tc>
        <w:tc>
          <w:tcPr>
            <w:tcW w:w="6237" w:type="dxa"/>
          </w:tcPr>
          <w:p w14:paraId="099C9E0B" w14:textId="511CC941" w:rsidR="00DA49AF" w:rsidRPr="00AF5DA7" w:rsidRDefault="00AF5DA7" w:rsidP="00DA49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5DA7">
              <w:rPr>
                <w:rFonts w:ascii="Times New Roman" w:hAnsi="Times New Roman" w:cs="Times New Roman"/>
              </w:rPr>
              <w:t>As account holders, parents or carers must ensure they fulfil their payment obligations and provide their banking details prior to their child starting care, as required.</w:t>
            </w:r>
          </w:p>
        </w:tc>
      </w:tr>
      <w:tr w:rsidR="00203EF6" w:rsidRPr="00AF5DA7" w14:paraId="73AA2D02" w14:textId="77777777" w:rsidTr="00271978">
        <w:tc>
          <w:tcPr>
            <w:tcW w:w="3397" w:type="dxa"/>
          </w:tcPr>
          <w:p w14:paraId="6AC30746" w14:textId="77777777" w:rsidR="00203EF6" w:rsidRPr="00AF5DA7" w:rsidRDefault="00203EF6" w:rsidP="00271978">
            <w:pPr>
              <w:rPr>
                <w:rFonts w:ascii="Times New Roman" w:hAnsi="Times New Roman" w:cs="Times New Roman"/>
              </w:rPr>
            </w:pPr>
            <w:r w:rsidRPr="00AF5DA7">
              <w:rPr>
                <w:rFonts w:ascii="Times New Roman" w:hAnsi="Times New Roman" w:cs="Times New Roman"/>
              </w:rPr>
              <w:t>School Council / Principal</w:t>
            </w:r>
          </w:p>
        </w:tc>
        <w:tc>
          <w:tcPr>
            <w:tcW w:w="6237" w:type="dxa"/>
          </w:tcPr>
          <w:p w14:paraId="137AD366" w14:textId="77777777" w:rsidR="00203EF6" w:rsidRPr="00AF5DA7" w:rsidRDefault="00203EF6" w:rsidP="00271978">
            <w:pPr>
              <w:rPr>
                <w:rFonts w:ascii="Times New Roman" w:hAnsi="Times New Roman" w:cs="Times New Roman"/>
              </w:rPr>
            </w:pPr>
            <w:r w:rsidRPr="00AF5DA7">
              <w:rPr>
                <w:rFonts w:ascii="Times New Roman" w:hAnsi="Times New Roman" w:cs="Times New Roman"/>
              </w:rPr>
              <w:t>Provide official sign off on the Policy</w:t>
            </w:r>
          </w:p>
          <w:p w14:paraId="56FAEEDB" w14:textId="7AE3E2A5" w:rsidR="00D608F5" w:rsidRPr="00AF5DA7" w:rsidRDefault="00D608F5" w:rsidP="00271978">
            <w:pPr>
              <w:rPr>
                <w:rFonts w:ascii="Times New Roman" w:hAnsi="Times New Roman" w:cs="Times New Roman"/>
              </w:rPr>
            </w:pPr>
          </w:p>
        </w:tc>
      </w:tr>
    </w:tbl>
    <w:p w14:paraId="67A23EEB" w14:textId="77777777" w:rsidR="00AF5DA7" w:rsidRPr="00AF5DA7" w:rsidRDefault="00AF5DA7" w:rsidP="002A464C">
      <w:pPr>
        <w:rPr>
          <w:rFonts w:ascii="Times New Roman" w:hAnsi="Times New Roman" w:cs="Times New Roman"/>
          <w:b/>
        </w:rPr>
      </w:pPr>
    </w:p>
    <w:p w14:paraId="677BDDA9" w14:textId="54A20B8F" w:rsidR="005D2A3A" w:rsidRPr="00AF5DA7" w:rsidRDefault="002A464C" w:rsidP="002A464C">
      <w:pPr>
        <w:rPr>
          <w:rFonts w:ascii="Times New Roman" w:hAnsi="Times New Roman" w:cs="Times New Roman"/>
          <w:b/>
        </w:rPr>
      </w:pPr>
      <w:r w:rsidRPr="00AF5DA7">
        <w:rPr>
          <w:rFonts w:ascii="Times New Roman" w:hAnsi="Times New Roman" w:cs="Times New Roman"/>
          <w:b/>
        </w:rPr>
        <w:t>Policy Review</w:t>
      </w:r>
    </w:p>
    <w:p w14:paraId="4605F056" w14:textId="2196A8D9" w:rsidR="00840C6A" w:rsidRPr="00AF5DA7" w:rsidRDefault="00840C6A" w:rsidP="00840C6A">
      <w:pPr>
        <w:rPr>
          <w:rFonts w:ascii="Times New Roman" w:hAnsi="Times New Roman" w:cs="Times New Roman"/>
          <w:bCs/>
        </w:rPr>
      </w:pPr>
      <w:r w:rsidRPr="00AF5DA7">
        <w:rPr>
          <w:rFonts w:ascii="Times New Roman" w:hAnsi="Times New Roman" w:cs="Times New Roman"/>
          <w:bCs/>
        </w:rPr>
        <w:t xml:space="preserve">The Policy will be reviewed every 12 months. The ongoing monitoring and compliance to this policy will be overseen by Nominated Supervisor, </w:t>
      </w:r>
      <w:r w:rsidRPr="00AF5DA7">
        <w:rPr>
          <w:rFonts w:ascii="Times New Roman" w:hAnsi="Times New Roman" w:cs="Times New Roman"/>
          <w:bCs/>
        </w:rPr>
        <w:t>Lakes Entrance Primary School Council</w:t>
      </w:r>
      <w:r w:rsidRPr="00AF5DA7">
        <w:rPr>
          <w:rFonts w:ascii="Times New Roman" w:hAnsi="Times New Roman" w:cs="Times New Roman"/>
          <w:bCs/>
        </w:rPr>
        <w:t xml:space="preserve"> OSHC and Person with Management or Control of the Service where practical. Feedback from Quality Assessment and Regulation Division (QARD), received through the assessment and rating process and/or compliance visits will inform this policy review. Feedback from stakeholders, e.g. parents, school community etc. will also inform policy updates and review.</w:t>
      </w:r>
    </w:p>
    <w:p w14:paraId="41C4F40F" w14:textId="77777777" w:rsidR="00935A0C" w:rsidRPr="00AF5DA7" w:rsidRDefault="00935A0C" w:rsidP="002A464C">
      <w:pPr>
        <w:rPr>
          <w:rFonts w:ascii="Times New Roman" w:hAnsi="Times New Roman" w:cs="Times New Roman"/>
          <w:b/>
        </w:rPr>
      </w:pPr>
    </w:p>
    <w:p w14:paraId="6B0A6F2B" w14:textId="275D4FA3" w:rsidR="002A464C" w:rsidRPr="00AF5DA7" w:rsidRDefault="002A464C" w:rsidP="002A464C">
      <w:pPr>
        <w:rPr>
          <w:rFonts w:ascii="Times New Roman" w:hAnsi="Times New Roman" w:cs="Times New Roman"/>
          <w:b/>
        </w:rPr>
      </w:pPr>
      <w:r w:rsidRPr="00AF5DA7">
        <w:rPr>
          <w:rFonts w:ascii="Times New Roman" w:hAnsi="Times New Roman" w:cs="Times New Roman"/>
          <w:b/>
        </w:rPr>
        <w:t xml:space="preserve">Legislation and Standards </w:t>
      </w:r>
    </w:p>
    <w:p w14:paraId="09529D77" w14:textId="77777777" w:rsidR="00AF5DA7" w:rsidRPr="00AF5DA7" w:rsidRDefault="00AF5DA7" w:rsidP="00AF5DA7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14" w:history="1"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Education and Care Services National Law Act</w:t>
        </w:r>
      </w:hyperlink>
      <w:r w:rsidRPr="00AF5DA7">
        <w:rPr>
          <w:rFonts w:ascii="Times New Roman" w:eastAsia="Calibri" w:hAnsi="Times New Roman" w:cs="Times New Roman"/>
          <w:lang w:val="en-US"/>
        </w:rPr>
        <w:t xml:space="preserve"> 2010</w:t>
      </w:r>
    </w:p>
    <w:p w14:paraId="416F86B1" w14:textId="77777777" w:rsidR="00AF5DA7" w:rsidRPr="00AF5DA7" w:rsidRDefault="00AF5DA7" w:rsidP="00AF5DA7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15" w:anchor="/view/regulation/2011/653" w:history="1">
        <w:r w:rsidRPr="00AF5DA7">
          <w:rPr>
            <w:rFonts w:ascii="Times New Roman" w:eastAsia="Calibri" w:hAnsi="Times New Roman" w:cs="Times New Roman"/>
            <w:bCs/>
            <w:color w:val="2967B2"/>
            <w:u w:val="single"/>
            <w:shd w:val="clear" w:color="auto" w:fill="FFFFFF"/>
            <w:lang w:val="en-US"/>
          </w:rPr>
          <w:t>Education and Care Services National Regulations</w:t>
        </w:r>
      </w:hyperlink>
      <w:r w:rsidRPr="00AF5DA7">
        <w:rPr>
          <w:rFonts w:ascii="Times New Roman" w:eastAsia="Calibri" w:hAnsi="Times New Roman" w:cs="Times New Roman"/>
          <w:lang w:val="en-US"/>
        </w:rPr>
        <w:t xml:space="preserve"> 2011</w:t>
      </w:r>
    </w:p>
    <w:p w14:paraId="6E8F116F" w14:textId="77777777" w:rsidR="00AF5DA7" w:rsidRPr="00AF5DA7" w:rsidRDefault="00AF5DA7" w:rsidP="00AF5DA7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16" w:history="1"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National Quality Standards</w:t>
        </w:r>
      </w:hyperlink>
      <w:r w:rsidRPr="00AF5DA7">
        <w:rPr>
          <w:rFonts w:ascii="Times New Roman" w:eastAsia="Calibri" w:hAnsi="Times New Roman" w:cs="Times New Roman"/>
          <w:lang w:val="en-US"/>
        </w:rPr>
        <w:t xml:space="preserve"> (Quality Area 2: Children’s Health and Safety)</w:t>
      </w:r>
    </w:p>
    <w:p w14:paraId="019CC710" w14:textId="77777777" w:rsidR="00AF5DA7" w:rsidRPr="00AF5DA7" w:rsidRDefault="00AF5DA7" w:rsidP="00AF5DA7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17" w:history="1"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Family assistance law</w:t>
        </w:r>
      </w:hyperlink>
    </w:p>
    <w:p w14:paraId="2E976C99" w14:textId="77777777" w:rsidR="00AF5DA7" w:rsidRPr="00AF5DA7" w:rsidRDefault="00AF5DA7" w:rsidP="002A5A6F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18" w:history="1"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Children’s Services Regulations 2009</w:t>
        </w:r>
      </w:hyperlink>
    </w:p>
    <w:p w14:paraId="7C0DB868" w14:textId="6600CB47" w:rsidR="00DA49AF" w:rsidRPr="00AF5DA7" w:rsidRDefault="00AF5DA7" w:rsidP="002A5A6F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19" w:history="1"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Education and Care Services National Regulations 2011</w:t>
        </w:r>
      </w:hyperlink>
    </w:p>
    <w:p w14:paraId="4783404E" w14:textId="77777777" w:rsidR="00AF5DA7" w:rsidRPr="00AF5DA7" w:rsidRDefault="00AF5DA7" w:rsidP="00AF5DA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lang w:val="en-US"/>
        </w:rPr>
      </w:pPr>
    </w:p>
    <w:p w14:paraId="05CD2839" w14:textId="77777777" w:rsidR="00AF5DA7" w:rsidRPr="00AF5DA7" w:rsidRDefault="00AF5DA7" w:rsidP="00DA49AF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</w:p>
    <w:p w14:paraId="0865CCA3" w14:textId="147FCC4B" w:rsidR="00DA49AF" w:rsidRPr="00DA49AF" w:rsidRDefault="00DA49AF" w:rsidP="00DA49AF">
      <w:pPr>
        <w:spacing w:after="0" w:line="276" w:lineRule="auto"/>
        <w:rPr>
          <w:rFonts w:ascii="Times New Roman" w:eastAsia="Calibri" w:hAnsi="Times New Roman" w:cs="Times New Roman"/>
          <w:b/>
          <w:lang w:val="en-US"/>
        </w:rPr>
      </w:pPr>
      <w:r w:rsidRPr="00DA49AF">
        <w:rPr>
          <w:rFonts w:ascii="Times New Roman" w:eastAsia="Calibri" w:hAnsi="Times New Roman" w:cs="Times New Roman"/>
          <w:b/>
          <w:lang w:val="en-US"/>
        </w:rPr>
        <w:t>Supporting Documents</w:t>
      </w:r>
    </w:p>
    <w:p w14:paraId="7403F156" w14:textId="77777777" w:rsidR="00AF5DA7" w:rsidRPr="00AF5DA7" w:rsidRDefault="00AF5DA7" w:rsidP="00AF5DA7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20" w:history="1">
        <w:proofErr w:type="spellStart"/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Immunisation</w:t>
        </w:r>
        <w:proofErr w:type="spellEnd"/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 xml:space="preserve"> and Health Check Requirements for Family Tax Benefit</w:t>
        </w:r>
      </w:hyperlink>
      <w:r w:rsidRPr="00AF5DA7">
        <w:rPr>
          <w:rFonts w:ascii="Times New Roman" w:eastAsia="Calibri" w:hAnsi="Times New Roman" w:cs="Times New Roman"/>
          <w:lang w:val="en-US"/>
        </w:rPr>
        <w:t xml:space="preserve"> </w:t>
      </w:r>
    </w:p>
    <w:p w14:paraId="6EBC31A7" w14:textId="564E6368" w:rsidR="00DA49AF" w:rsidRPr="00AF5DA7" w:rsidRDefault="00AF5DA7" w:rsidP="00AF5DA7">
      <w:pPr>
        <w:numPr>
          <w:ilvl w:val="0"/>
          <w:numId w:val="15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hyperlink r:id="rId21" w:history="1">
        <w:r w:rsidRPr="00AF5DA7">
          <w:rPr>
            <w:rFonts w:ascii="Times New Roman" w:eastAsia="Calibri" w:hAnsi="Times New Roman" w:cs="Times New Roman"/>
            <w:color w:val="2967B2"/>
            <w:u w:val="single"/>
            <w:lang w:val="en-US"/>
          </w:rPr>
          <w:t>Child Care Subsidy (CCS)</w:t>
        </w:r>
      </w:hyperlink>
      <w:r w:rsidR="00DA49AF" w:rsidRPr="00AF5DA7">
        <w:rPr>
          <w:rFonts w:ascii="Times New Roman" w:eastAsia="Calibri" w:hAnsi="Times New Roman" w:cs="Times New Roman"/>
          <w:lang w:val="en-US"/>
        </w:rPr>
        <w:t xml:space="preserve"> </w:t>
      </w:r>
    </w:p>
    <w:p w14:paraId="01CBF43F" w14:textId="77777777" w:rsidR="00DA49AF" w:rsidRPr="00DA49AF" w:rsidRDefault="00DA49AF" w:rsidP="00DA49AF">
      <w:p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</w:p>
    <w:p w14:paraId="097ADF72" w14:textId="77777777" w:rsidR="00586E32" w:rsidRDefault="00586E32" w:rsidP="002A464C">
      <w:pPr>
        <w:rPr>
          <w:rFonts w:ascii="Times New Roman" w:hAnsi="Times New Roman" w:cs="Times New Roman"/>
          <w:b/>
        </w:rPr>
      </w:pPr>
    </w:p>
    <w:p w14:paraId="531DE7E3" w14:textId="554EB83A" w:rsidR="002A464C" w:rsidRDefault="002A464C" w:rsidP="002A464C">
      <w:pPr>
        <w:rPr>
          <w:rFonts w:ascii="Times New Roman" w:hAnsi="Times New Roman" w:cs="Times New Roman"/>
          <w:b/>
        </w:rPr>
      </w:pPr>
      <w:r w:rsidRPr="00AD4B19">
        <w:rPr>
          <w:rFonts w:ascii="Times New Roman" w:hAnsi="Times New Roman" w:cs="Times New Roman"/>
          <w:b/>
        </w:rPr>
        <w:t xml:space="preserve">Staff Acknowledgement </w:t>
      </w:r>
    </w:p>
    <w:p w14:paraId="5B5A771F" w14:textId="77777777" w:rsidR="00AF5DA7" w:rsidRPr="00AF5DA7" w:rsidRDefault="00AF5DA7" w:rsidP="00AF5DA7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F5DA7">
        <w:rPr>
          <w:rFonts w:ascii="Times New Roman" w:eastAsia="Calibri" w:hAnsi="Times New Roman" w:cs="Times New Roman"/>
          <w:lang w:val="en-US"/>
        </w:rPr>
        <w:t xml:space="preserve">I acknowledge: </w:t>
      </w:r>
    </w:p>
    <w:p w14:paraId="3898D573" w14:textId="1CD2C14E" w:rsidR="00AF5DA7" w:rsidRPr="00AF5DA7" w:rsidRDefault="00AF5DA7" w:rsidP="00AF5DA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AF5DA7">
        <w:rPr>
          <w:rFonts w:ascii="Times New Roman" w:eastAsia="Calibri" w:hAnsi="Times New Roman" w:cs="Times New Roman"/>
          <w:lang w:val="en-US"/>
        </w:rPr>
        <w:t xml:space="preserve">receiving the </w:t>
      </w:r>
      <w:r w:rsidRPr="00AF5DA7">
        <w:rPr>
          <w:rFonts w:ascii="Times New Roman" w:eastAsia="Calibri" w:hAnsi="Times New Roman" w:cs="Times New Roman"/>
          <w:lang w:val="en-US"/>
        </w:rPr>
        <w:t>Lakes Entrance Primary School Council</w:t>
      </w:r>
      <w:r w:rsidRPr="00AF5DA7">
        <w:rPr>
          <w:rFonts w:ascii="Times New Roman" w:eastAsia="Calibri" w:hAnsi="Times New Roman" w:cs="Times New Roman"/>
          <w:lang w:val="en-US"/>
        </w:rPr>
        <w:t xml:space="preserve"> OSHC Bookings Policy; </w:t>
      </w:r>
    </w:p>
    <w:p w14:paraId="5A4179E9" w14:textId="77777777" w:rsidR="00AF5DA7" w:rsidRPr="00AF5DA7" w:rsidRDefault="00AF5DA7" w:rsidP="00AF5DA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r w:rsidRPr="00AF5DA7">
        <w:rPr>
          <w:rFonts w:ascii="Times New Roman" w:eastAsia="Calibri" w:hAnsi="Times New Roman" w:cs="Times New Roman"/>
          <w:lang w:val="en-US"/>
        </w:rPr>
        <w:t xml:space="preserve">that I will comply with the policy; and </w:t>
      </w:r>
    </w:p>
    <w:p w14:paraId="1CEED762" w14:textId="77777777" w:rsidR="00AF5DA7" w:rsidRPr="00AF5DA7" w:rsidRDefault="00AF5DA7" w:rsidP="00AF5DA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lang w:val="en-US"/>
        </w:rPr>
      </w:pPr>
      <w:proofErr w:type="gramStart"/>
      <w:r w:rsidRPr="00AF5DA7">
        <w:rPr>
          <w:rFonts w:ascii="Times New Roman" w:eastAsia="Calibri" w:hAnsi="Times New Roman" w:cs="Times New Roman"/>
          <w:lang w:val="en-US"/>
        </w:rPr>
        <w:t>that</w:t>
      </w:r>
      <w:proofErr w:type="gramEnd"/>
      <w:r w:rsidRPr="00AF5DA7">
        <w:rPr>
          <w:rFonts w:ascii="Times New Roman" w:eastAsia="Calibri" w:hAnsi="Times New Roman" w:cs="Times New Roman"/>
          <w:lang w:val="en-US"/>
        </w:rPr>
        <w:t xml:space="preserve"> dependent on the seriousness of any breach there may be disciplinary consequences if I fail to comply, which may result in the termination of my employment. </w:t>
      </w:r>
    </w:p>
    <w:p w14:paraId="289ED9A6" w14:textId="77777777" w:rsidR="000E569A" w:rsidRPr="00935A0C" w:rsidRDefault="000E569A" w:rsidP="00935A0C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464C" w:rsidRPr="00037B55" w14:paraId="744FA835" w14:textId="77777777" w:rsidTr="00271978">
        <w:tc>
          <w:tcPr>
            <w:tcW w:w="4508" w:type="dxa"/>
          </w:tcPr>
          <w:p w14:paraId="62499799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Your Name:   </w:t>
            </w:r>
          </w:p>
        </w:tc>
        <w:tc>
          <w:tcPr>
            <w:tcW w:w="4509" w:type="dxa"/>
          </w:tcPr>
          <w:p w14:paraId="3C49BFCB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42980563" w14:textId="77777777" w:rsidTr="00271978">
        <w:tc>
          <w:tcPr>
            <w:tcW w:w="4508" w:type="dxa"/>
          </w:tcPr>
          <w:p w14:paraId="2EF4F4D0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Signed:  </w:t>
            </w:r>
          </w:p>
        </w:tc>
        <w:tc>
          <w:tcPr>
            <w:tcW w:w="4509" w:type="dxa"/>
          </w:tcPr>
          <w:p w14:paraId="06609746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7DBB757D" w14:textId="77777777" w:rsidTr="00271978">
        <w:tc>
          <w:tcPr>
            <w:tcW w:w="4508" w:type="dxa"/>
          </w:tcPr>
          <w:p w14:paraId="5D138034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Date:   </w:t>
            </w:r>
          </w:p>
        </w:tc>
        <w:tc>
          <w:tcPr>
            <w:tcW w:w="4509" w:type="dxa"/>
          </w:tcPr>
          <w:p w14:paraId="502A318B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</w:p>
        </w:tc>
      </w:tr>
      <w:tr w:rsidR="002A464C" w:rsidRPr="00037B55" w14:paraId="71D36476" w14:textId="77777777" w:rsidTr="00271978">
        <w:tc>
          <w:tcPr>
            <w:tcW w:w="4508" w:type="dxa"/>
          </w:tcPr>
          <w:p w14:paraId="1B972E01" w14:textId="310D6C4C" w:rsidR="002A464C" w:rsidRPr="00037B55" w:rsidRDefault="00037B55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 xml:space="preserve">Lakes Entrance Primary School Council </w:t>
            </w:r>
            <w:r w:rsidR="002A464C" w:rsidRPr="00037B55">
              <w:rPr>
                <w:rFonts w:ascii="Times New Roman" w:hAnsi="Times New Roman" w:cs="Times New Roman"/>
              </w:rPr>
              <w:t xml:space="preserve">OSHC </w:t>
            </w:r>
          </w:p>
        </w:tc>
        <w:tc>
          <w:tcPr>
            <w:tcW w:w="4509" w:type="dxa"/>
          </w:tcPr>
          <w:p w14:paraId="11CC9DEE" w14:textId="77777777" w:rsidR="002A464C" w:rsidRPr="00037B55" w:rsidRDefault="002A464C" w:rsidP="00271978">
            <w:pPr>
              <w:rPr>
                <w:rFonts w:ascii="Times New Roman" w:hAnsi="Times New Roman" w:cs="Times New Roman"/>
              </w:rPr>
            </w:pPr>
            <w:r w:rsidRPr="00037B55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67C7B79D" w14:textId="77777777" w:rsidR="00400ED9" w:rsidRDefault="00400ED9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</w:p>
    <w:p w14:paraId="3D99A528" w14:textId="410494A8" w:rsidR="00D0013A" w:rsidRPr="00A85C48" w:rsidRDefault="00D0013A" w:rsidP="00D0013A">
      <w:pPr>
        <w:spacing w:after="120"/>
        <w:ind w:right="-6"/>
        <w:jc w:val="both"/>
        <w:rPr>
          <w:rFonts w:ascii="Times New Roman" w:hAnsi="Times New Roman" w:cs="Times New Roman"/>
          <w:lang w:eastAsia="en-AU"/>
        </w:rPr>
      </w:pPr>
      <w:r w:rsidRPr="00A85C48">
        <w:rPr>
          <w:rFonts w:ascii="Times New Roman" w:hAnsi="Times New Roman" w:cs="Times New Roman"/>
          <w:b/>
          <w:lang w:eastAsia="en-AU"/>
        </w:rPr>
        <w:t>Review Date</w:t>
      </w:r>
      <w:r w:rsidRPr="00A85C48">
        <w:rPr>
          <w:rFonts w:ascii="Times New Roman" w:hAnsi="Times New Roman" w:cs="Times New Roman"/>
          <w:lang w:eastAsia="en-AU"/>
        </w:rPr>
        <w:t xml:space="preserve">: </w:t>
      </w:r>
      <w:r w:rsidR="00A85C48">
        <w:rPr>
          <w:rFonts w:ascii="Times New Roman" w:hAnsi="Times New Roman" w:cs="Times New Roman"/>
          <w:lang w:eastAsia="en-AU"/>
        </w:rPr>
        <w:t xml:space="preserve"> April 2022</w:t>
      </w:r>
    </w:p>
    <w:p w14:paraId="42E53708" w14:textId="77777777" w:rsidR="00840C6A" w:rsidRDefault="00840C6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</w:p>
    <w:p w14:paraId="2329A230" w14:textId="6299D74B" w:rsidR="00D0013A" w:rsidRPr="00A85C48" w:rsidRDefault="00D0013A" w:rsidP="00D0013A">
      <w:pPr>
        <w:spacing w:after="120"/>
        <w:ind w:right="-6"/>
        <w:jc w:val="both"/>
        <w:rPr>
          <w:rFonts w:ascii="Times New Roman" w:hAnsi="Times New Roman" w:cs="Times New Roman"/>
          <w:b/>
          <w:lang w:eastAsia="en-AU"/>
        </w:rPr>
      </w:pPr>
      <w:r w:rsidRPr="00A85C48">
        <w:rPr>
          <w:rFonts w:ascii="Times New Roman" w:hAnsi="Times New Roman" w:cs="Times New Roman"/>
          <w:b/>
          <w:lang w:eastAsia="en-AU"/>
        </w:rPr>
        <w:t>Signed:</w:t>
      </w:r>
    </w:p>
    <w:p w14:paraId="0F3FD026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</w:p>
    <w:p w14:paraId="74AD5773" w14:textId="77777777" w:rsidR="00D0013A" w:rsidRPr="00A66955" w:rsidRDefault="00D0013A" w:rsidP="00D0013A">
      <w:pPr>
        <w:spacing w:after="120"/>
        <w:ind w:right="-6"/>
        <w:jc w:val="both"/>
        <w:rPr>
          <w:rFonts w:ascii="Arial" w:hAnsi="Arial" w:cs="Arial"/>
          <w:lang w:eastAsia="en-AU"/>
        </w:rPr>
      </w:pPr>
      <w:r w:rsidRPr="00A66955">
        <w:rPr>
          <w:rFonts w:ascii="Arial" w:hAnsi="Arial" w:cs="Arial"/>
          <w:lang w:eastAsia="en-AU"/>
        </w:rPr>
        <w:t>______________________________</w:t>
      </w:r>
      <w:r w:rsidRPr="00A66955">
        <w:rPr>
          <w:rFonts w:ascii="Arial" w:hAnsi="Arial" w:cs="Arial"/>
          <w:lang w:eastAsia="en-AU"/>
        </w:rPr>
        <w:tab/>
        <w:t>________________________________</w:t>
      </w:r>
    </w:p>
    <w:p w14:paraId="08F29794" w14:textId="711088D9" w:rsidR="00A85C48" w:rsidRDefault="00D0013A" w:rsidP="00A85C48">
      <w:pPr>
        <w:spacing w:after="120"/>
        <w:ind w:right="-6"/>
        <w:jc w:val="both"/>
        <w:rPr>
          <w:rFonts w:ascii="Verdana" w:hAnsi="Verdana"/>
        </w:rPr>
      </w:pPr>
      <w:r w:rsidRPr="00A85C48">
        <w:rPr>
          <w:rFonts w:ascii="Times New Roman" w:hAnsi="Times New Roman" w:cs="Times New Roman"/>
          <w:b/>
          <w:lang w:eastAsia="en-AU"/>
        </w:rPr>
        <w:t>Principal</w:t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</w:r>
      <w:r w:rsidRPr="00A85C48">
        <w:rPr>
          <w:rFonts w:ascii="Times New Roman" w:hAnsi="Times New Roman" w:cs="Times New Roman"/>
          <w:b/>
          <w:lang w:eastAsia="en-AU"/>
        </w:rPr>
        <w:tab/>
        <w:t>School Council President</w:t>
      </w:r>
      <w:r w:rsidRPr="00FA2EFE">
        <w:rPr>
          <w:rFonts w:ascii="Verdana" w:hAnsi="Verdana"/>
        </w:rPr>
        <w:t xml:space="preserve">  </w:t>
      </w:r>
    </w:p>
    <w:p w14:paraId="225EDAFB" w14:textId="77777777" w:rsidR="000E569A" w:rsidRDefault="000E569A" w:rsidP="00A85C48">
      <w:pPr>
        <w:spacing w:after="120"/>
        <w:ind w:right="-6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342"/>
        <w:gridCol w:w="4087"/>
      </w:tblGrid>
      <w:tr w:rsidR="00D0013A" w:rsidRPr="00222841" w14:paraId="4606587F" w14:textId="77777777" w:rsidTr="00950CC8">
        <w:trPr>
          <w:trHeight w:val="549"/>
        </w:trPr>
        <w:tc>
          <w:tcPr>
            <w:tcW w:w="2587" w:type="dxa"/>
            <w:shd w:val="clear" w:color="auto" w:fill="E6E6E6"/>
          </w:tcPr>
          <w:p w14:paraId="0CEE448F" w14:textId="4676746D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Ratified by School Council</w:t>
            </w:r>
          </w:p>
        </w:tc>
        <w:tc>
          <w:tcPr>
            <w:tcW w:w="2342" w:type="dxa"/>
          </w:tcPr>
          <w:p w14:paraId="2BC8C910" w14:textId="6016F5C4" w:rsidR="00D0013A" w:rsidRPr="00222841" w:rsidRDefault="00D0013A" w:rsidP="00A85C48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Date: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 xml:space="preserve"> 11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>/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>05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/ </w:t>
            </w:r>
            <w:r w:rsidR="00A85C48">
              <w:rPr>
                <w:rFonts w:ascii="Verdana" w:hAnsi="Verdana"/>
                <w:sz w:val="20"/>
                <w:szCs w:val="20"/>
                <w:lang w:val="en-US"/>
              </w:rPr>
              <w:t>2021</w:t>
            </w: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87" w:type="dxa"/>
          </w:tcPr>
          <w:p w14:paraId="50D63D9C" w14:textId="77777777" w:rsidR="00D0013A" w:rsidRPr="00222841" w:rsidRDefault="00D0013A" w:rsidP="00C254CC">
            <w:pPr>
              <w:spacing w:before="240" w:after="240"/>
              <w:rPr>
                <w:rFonts w:ascii="Verdana" w:hAnsi="Verdana"/>
                <w:sz w:val="20"/>
                <w:szCs w:val="20"/>
                <w:lang w:val="en-US"/>
              </w:rPr>
            </w:pPr>
            <w:r w:rsidRPr="00222841">
              <w:rPr>
                <w:rFonts w:ascii="Verdana" w:hAnsi="Verdana"/>
                <w:sz w:val="20"/>
                <w:szCs w:val="20"/>
                <w:lang w:val="en-US"/>
              </w:rPr>
              <w:t xml:space="preserve">Signed: </w:t>
            </w:r>
          </w:p>
        </w:tc>
      </w:tr>
    </w:tbl>
    <w:p w14:paraId="571916E8" w14:textId="547C9CEA" w:rsidR="00021F57" w:rsidRPr="00033E7C" w:rsidRDefault="00021F57" w:rsidP="00A85C48">
      <w:pPr>
        <w:jc w:val="both"/>
        <w:rPr>
          <w:rFonts w:ascii="Times New Roman" w:hAnsi="Times New Roman" w:cs="Times New Roman"/>
        </w:rPr>
      </w:pPr>
    </w:p>
    <w:sectPr w:rsidR="00021F57" w:rsidRPr="00033E7C" w:rsidSect="00E06DF7">
      <w:pgSz w:w="11906" w:h="16838"/>
      <w:pgMar w:top="1440" w:right="1440" w:bottom="1440" w:left="1440" w:header="708" w:footer="708" w:gutter="0"/>
      <w:pgBorders w:offsetFrom="page">
        <w:top w:val="thinThickSmallGap" w:sz="24" w:space="24" w:color="007400"/>
        <w:left w:val="thinThickSmallGap" w:sz="24" w:space="24" w:color="007400"/>
        <w:bottom w:val="thickThinSmallGap" w:sz="24" w:space="24" w:color="007400"/>
        <w:right w:val="thickThinSmallGap" w:sz="24" w:space="24" w:color="0074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1945D" w14:textId="77777777" w:rsidR="00A85C48" w:rsidRDefault="00A85C48" w:rsidP="00A85C48">
      <w:pPr>
        <w:spacing w:after="0" w:line="240" w:lineRule="auto"/>
      </w:pPr>
      <w:r>
        <w:separator/>
      </w:r>
    </w:p>
  </w:endnote>
  <w:endnote w:type="continuationSeparator" w:id="0">
    <w:p w14:paraId="20C2E9F8" w14:textId="77777777" w:rsidR="00A85C48" w:rsidRDefault="00A85C48" w:rsidP="00A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CC1C" w14:textId="77777777" w:rsidR="00A85C48" w:rsidRDefault="00A85C48" w:rsidP="00A85C48">
      <w:pPr>
        <w:spacing w:after="0" w:line="240" w:lineRule="auto"/>
      </w:pPr>
      <w:r>
        <w:separator/>
      </w:r>
    </w:p>
  </w:footnote>
  <w:footnote w:type="continuationSeparator" w:id="0">
    <w:p w14:paraId="5A0E5457" w14:textId="77777777" w:rsidR="00A85C48" w:rsidRDefault="00A85C48" w:rsidP="00A8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17E"/>
    <w:multiLevelType w:val="hybridMultilevel"/>
    <w:tmpl w:val="4C9C6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70D"/>
    <w:multiLevelType w:val="hybridMultilevel"/>
    <w:tmpl w:val="0F3E03FE"/>
    <w:lvl w:ilvl="0" w:tplc="76FE917E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474"/>
    <w:multiLevelType w:val="hybridMultilevel"/>
    <w:tmpl w:val="4AC6F0B4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A65A6A"/>
    <w:multiLevelType w:val="hybridMultilevel"/>
    <w:tmpl w:val="63A8942E"/>
    <w:lvl w:ilvl="0" w:tplc="1C6CC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FCE"/>
    <w:multiLevelType w:val="hybridMultilevel"/>
    <w:tmpl w:val="75EE8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4331"/>
    <w:multiLevelType w:val="hybridMultilevel"/>
    <w:tmpl w:val="01A08ECE"/>
    <w:lvl w:ilvl="0" w:tplc="1C1CB38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62DBF"/>
    <w:multiLevelType w:val="hybridMultilevel"/>
    <w:tmpl w:val="66B6C000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F2E30"/>
    <w:multiLevelType w:val="hybridMultilevel"/>
    <w:tmpl w:val="4620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9E7"/>
    <w:multiLevelType w:val="multilevel"/>
    <w:tmpl w:val="B55AD8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4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5E3DDD"/>
    <w:multiLevelType w:val="hybridMultilevel"/>
    <w:tmpl w:val="228EF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975E5"/>
    <w:multiLevelType w:val="hybridMultilevel"/>
    <w:tmpl w:val="55CA8D26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6C52CD"/>
    <w:multiLevelType w:val="hybridMultilevel"/>
    <w:tmpl w:val="76BA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F0EF3"/>
    <w:multiLevelType w:val="hybridMultilevel"/>
    <w:tmpl w:val="95E05706"/>
    <w:lvl w:ilvl="0" w:tplc="1338BA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627F"/>
    <w:multiLevelType w:val="hybridMultilevel"/>
    <w:tmpl w:val="E1725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49D1"/>
    <w:multiLevelType w:val="hybridMultilevel"/>
    <w:tmpl w:val="348E8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49F0"/>
    <w:multiLevelType w:val="hybridMultilevel"/>
    <w:tmpl w:val="A042B31E"/>
    <w:lvl w:ilvl="0" w:tplc="719E4F2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9D2466"/>
    <w:multiLevelType w:val="hybridMultilevel"/>
    <w:tmpl w:val="439C2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A4AA3"/>
    <w:multiLevelType w:val="hybridMultilevel"/>
    <w:tmpl w:val="290E6154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E51ED9"/>
    <w:multiLevelType w:val="hybridMultilevel"/>
    <w:tmpl w:val="1FC40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F0C5B"/>
    <w:multiLevelType w:val="hybridMultilevel"/>
    <w:tmpl w:val="49187DE2"/>
    <w:lvl w:ilvl="0" w:tplc="1C6CC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87659"/>
    <w:multiLevelType w:val="hybridMultilevel"/>
    <w:tmpl w:val="1CE26136"/>
    <w:lvl w:ilvl="0" w:tplc="859C53C0">
      <w:start w:val="1"/>
      <w:numFmt w:val="decimal"/>
      <w:pStyle w:val="NumberedHeadingsBold"/>
      <w:lvlText w:val="%1."/>
      <w:lvlJc w:val="left"/>
      <w:pPr>
        <w:ind w:left="644" w:hanging="360"/>
      </w:pPr>
    </w:lvl>
    <w:lvl w:ilvl="1" w:tplc="B6AA14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92614"/>
    <w:multiLevelType w:val="hybridMultilevel"/>
    <w:tmpl w:val="107A62E8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A90E13"/>
    <w:multiLevelType w:val="hybridMultilevel"/>
    <w:tmpl w:val="0512CC88"/>
    <w:lvl w:ilvl="0" w:tplc="06E6F1E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C6D16"/>
    <w:multiLevelType w:val="hybridMultilevel"/>
    <w:tmpl w:val="64F43988"/>
    <w:lvl w:ilvl="0" w:tplc="1338BA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6584E"/>
    <w:multiLevelType w:val="hybridMultilevel"/>
    <w:tmpl w:val="FCA03BE6"/>
    <w:lvl w:ilvl="0" w:tplc="719E4F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92581"/>
    <w:multiLevelType w:val="hybridMultilevel"/>
    <w:tmpl w:val="019A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13ED7"/>
    <w:multiLevelType w:val="hybridMultilevel"/>
    <w:tmpl w:val="139A55A8"/>
    <w:lvl w:ilvl="0" w:tplc="1C6CC7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5B48"/>
    <w:multiLevelType w:val="hybridMultilevel"/>
    <w:tmpl w:val="48928B2A"/>
    <w:lvl w:ilvl="0" w:tplc="C6368FDE">
      <w:start w:val="4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437026"/>
    <w:multiLevelType w:val="hybridMultilevel"/>
    <w:tmpl w:val="9AFEA30E"/>
    <w:lvl w:ilvl="0" w:tplc="46ACC68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135B"/>
    <w:multiLevelType w:val="hybridMultilevel"/>
    <w:tmpl w:val="971207A8"/>
    <w:lvl w:ilvl="0" w:tplc="719E4F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951277"/>
    <w:multiLevelType w:val="hybridMultilevel"/>
    <w:tmpl w:val="AEC2D0F6"/>
    <w:lvl w:ilvl="0" w:tplc="8C4CBD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0C67C2"/>
    <w:multiLevelType w:val="hybridMultilevel"/>
    <w:tmpl w:val="802ED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A19CF"/>
    <w:multiLevelType w:val="hybridMultilevel"/>
    <w:tmpl w:val="7E284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A24B3"/>
    <w:multiLevelType w:val="hybridMultilevel"/>
    <w:tmpl w:val="7FAA2880"/>
    <w:lvl w:ilvl="0" w:tplc="514E76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5115D0"/>
    <w:multiLevelType w:val="hybridMultilevel"/>
    <w:tmpl w:val="EC0E9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4330A"/>
    <w:multiLevelType w:val="hybridMultilevel"/>
    <w:tmpl w:val="9A485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9716F"/>
    <w:multiLevelType w:val="hybridMultilevel"/>
    <w:tmpl w:val="F9C20898"/>
    <w:lvl w:ilvl="0" w:tplc="1C1CB3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1"/>
  </w:num>
  <w:num w:numId="5">
    <w:abstractNumId w:val="26"/>
  </w:num>
  <w:num w:numId="6">
    <w:abstractNumId w:val="7"/>
  </w:num>
  <w:num w:numId="7">
    <w:abstractNumId w:val="14"/>
  </w:num>
  <w:num w:numId="8">
    <w:abstractNumId w:val="35"/>
  </w:num>
  <w:num w:numId="9">
    <w:abstractNumId w:val="25"/>
  </w:num>
  <w:num w:numId="10">
    <w:abstractNumId w:val="30"/>
  </w:num>
  <w:num w:numId="11">
    <w:abstractNumId w:val="19"/>
  </w:num>
  <w:num w:numId="12">
    <w:abstractNumId w:val="37"/>
  </w:num>
  <w:num w:numId="13">
    <w:abstractNumId w:val="5"/>
  </w:num>
  <w:num w:numId="14">
    <w:abstractNumId w:val="16"/>
  </w:num>
  <w:num w:numId="15">
    <w:abstractNumId w:val="8"/>
  </w:num>
  <w:num w:numId="16">
    <w:abstractNumId w:val="1"/>
  </w:num>
  <w:num w:numId="17">
    <w:abstractNumId w:val="29"/>
  </w:num>
  <w:num w:numId="18">
    <w:abstractNumId w:val="9"/>
  </w:num>
  <w:num w:numId="19">
    <w:abstractNumId w:val="4"/>
  </w:num>
  <w:num w:numId="20">
    <w:abstractNumId w:val="22"/>
  </w:num>
  <w:num w:numId="21">
    <w:abstractNumId w:val="18"/>
  </w:num>
  <w:num w:numId="22">
    <w:abstractNumId w:val="6"/>
  </w:num>
  <w:num w:numId="23">
    <w:abstractNumId w:val="10"/>
  </w:num>
  <w:num w:numId="24">
    <w:abstractNumId w:val="2"/>
  </w:num>
  <w:num w:numId="25">
    <w:abstractNumId w:val="24"/>
  </w:num>
  <w:num w:numId="26">
    <w:abstractNumId w:val="27"/>
  </w:num>
  <w:num w:numId="27">
    <w:abstractNumId w:val="20"/>
  </w:num>
  <w:num w:numId="28">
    <w:abstractNumId w:val="28"/>
  </w:num>
  <w:num w:numId="29">
    <w:abstractNumId w:val="0"/>
  </w:num>
  <w:num w:numId="30">
    <w:abstractNumId w:val="23"/>
  </w:num>
  <w:num w:numId="31">
    <w:abstractNumId w:val="3"/>
  </w:num>
  <w:num w:numId="32">
    <w:abstractNumId w:val="36"/>
  </w:num>
  <w:num w:numId="33">
    <w:abstractNumId w:val="12"/>
  </w:num>
  <w:num w:numId="34">
    <w:abstractNumId w:val="33"/>
  </w:num>
  <w:num w:numId="35">
    <w:abstractNumId w:val="13"/>
  </w:num>
  <w:num w:numId="36">
    <w:abstractNumId w:val="34"/>
  </w:num>
  <w:num w:numId="37">
    <w:abstractNumId w:val="31"/>
  </w:num>
  <w:num w:numId="38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9E"/>
    <w:rsid w:val="0000359B"/>
    <w:rsid w:val="00021F57"/>
    <w:rsid w:val="00033E7C"/>
    <w:rsid w:val="00037B55"/>
    <w:rsid w:val="00045FB6"/>
    <w:rsid w:val="0006459E"/>
    <w:rsid w:val="00077236"/>
    <w:rsid w:val="00080F0B"/>
    <w:rsid w:val="000955FF"/>
    <w:rsid w:val="000965F9"/>
    <w:rsid w:val="000B255E"/>
    <w:rsid w:val="000C0763"/>
    <w:rsid w:val="000D3CE4"/>
    <w:rsid w:val="000E057E"/>
    <w:rsid w:val="000E569A"/>
    <w:rsid w:val="0010563F"/>
    <w:rsid w:val="00107AF0"/>
    <w:rsid w:val="00110FEA"/>
    <w:rsid w:val="0012140D"/>
    <w:rsid w:val="0014053F"/>
    <w:rsid w:val="001502FD"/>
    <w:rsid w:val="00150E6E"/>
    <w:rsid w:val="00172FF7"/>
    <w:rsid w:val="00181B61"/>
    <w:rsid w:val="001975B0"/>
    <w:rsid w:val="001F0E3E"/>
    <w:rsid w:val="001F3D03"/>
    <w:rsid w:val="00203EF6"/>
    <w:rsid w:val="00210382"/>
    <w:rsid w:val="00211A00"/>
    <w:rsid w:val="00283A6C"/>
    <w:rsid w:val="00290B18"/>
    <w:rsid w:val="002923FB"/>
    <w:rsid w:val="002A27FE"/>
    <w:rsid w:val="002A464C"/>
    <w:rsid w:val="002A70DC"/>
    <w:rsid w:val="002E14C4"/>
    <w:rsid w:val="00306B3C"/>
    <w:rsid w:val="0031464D"/>
    <w:rsid w:val="003800A1"/>
    <w:rsid w:val="003853E0"/>
    <w:rsid w:val="003B27A2"/>
    <w:rsid w:val="00400ED9"/>
    <w:rsid w:val="00406397"/>
    <w:rsid w:val="004166A0"/>
    <w:rsid w:val="00433A50"/>
    <w:rsid w:val="0043419E"/>
    <w:rsid w:val="00436E10"/>
    <w:rsid w:val="004408E5"/>
    <w:rsid w:val="00466467"/>
    <w:rsid w:val="004B3F60"/>
    <w:rsid w:val="004D6199"/>
    <w:rsid w:val="004F6C4D"/>
    <w:rsid w:val="00521B0E"/>
    <w:rsid w:val="00531FC4"/>
    <w:rsid w:val="0056049E"/>
    <w:rsid w:val="005867B0"/>
    <w:rsid w:val="00586E32"/>
    <w:rsid w:val="005A43B3"/>
    <w:rsid w:val="005B3DBC"/>
    <w:rsid w:val="005C01BE"/>
    <w:rsid w:val="005C1A59"/>
    <w:rsid w:val="005D2A3A"/>
    <w:rsid w:val="005E7F3C"/>
    <w:rsid w:val="00604C40"/>
    <w:rsid w:val="006304D4"/>
    <w:rsid w:val="00656432"/>
    <w:rsid w:val="006D0056"/>
    <w:rsid w:val="006E70DC"/>
    <w:rsid w:val="0071569A"/>
    <w:rsid w:val="00727D85"/>
    <w:rsid w:val="00840C6A"/>
    <w:rsid w:val="0084534A"/>
    <w:rsid w:val="00851CCD"/>
    <w:rsid w:val="00851F83"/>
    <w:rsid w:val="00852B16"/>
    <w:rsid w:val="008A0568"/>
    <w:rsid w:val="008B1A9E"/>
    <w:rsid w:val="008C491D"/>
    <w:rsid w:val="008D471A"/>
    <w:rsid w:val="008E1116"/>
    <w:rsid w:val="008F345A"/>
    <w:rsid w:val="009358B6"/>
    <w:rsid w:val="00935A0C"/>
    <w:rsid w:val="00950CC8"/>
    <w:rsid w:val="0096297C"/>
    <w:rsid w:val="0099460C"/>
    <w:rsid w:val="009C5874"/>
    <w:rsid w:val="009D05FD"/>
    <w:rsid w:val="009D1CF1"/>
    <w:rsid w:val="009F6A8D"/>
    <w:rsid w:val="00A1028D"/>
    <w:rsid w:val="00A17B8D"/>
    <w:rsid w:val="00A2344A"/>
    <w:rsid w:val="00A27096"/>
    <w:rsid w:val="00A274C5"/>
    <w:rsid w:val="00A46DA8"/>
    <w:rsid w:val="00A8281F"/>
    <w:rsid w:val="00A8488B"/>
    <w:rsid w:val="00A85C48"/>
    <w:rsid w:val="00A872D4"/>
    <w:rsid w:val="00A94B2D"/>
    <w:rsid w:val="00AB5A54"/>
    <w:rsid w:val="00AC097E"/>
    <w:rsid w:val="00AD4B19"/>
    <w:rsid w:val="00AE7EBE"/>
    <w:rsid w:val="00AF5DA7"/>
    <w:rsid w:val="00B21536"/>
    <w:rsid w:val="00B542F8"/>
    <w:rsid w:val="00B6783B"/>
    <w:rsid w:val="00BA6A2C"/>
    <w:rsid w:val="00BC0F8F"/>
    <w:rsid w:val="00BC55B0"/>
    <w:rsid w:val="00BD0855"/>
    <w:rsid w:val="00BE4684"/>
    <w:rsid w:val="00BE6EA9"/>
    <w:rsid w:val="00BF2EB2"/>
    <w:rsid w:val="00C01909"/>
    <w:rsid w:val="00C923E6"/>
    <w:rsid w:val="00CB01EA"/>
    <w:rsid w:val="00CB2F84"/>
    <w:rsid w:val="00CC6C50"/>
    <w:rsid w:val="00CE1B2B"/>
    <w:rsid w:val="00CF71CE"/>
    <w:rsid w:val="00D0013A"/>
    <w:rsid w:val="00D23A7C"/>
    <w:rsid w:val="00D4649E"/>
    <w:rsid w:val="00D608F5"/>
    <w:rsid w:val="00D7249B"/>
    <w:rsid w:val="00D83DB7"/>
    <w:rsid w:val="00DA49AF"/>
    <w:rsid w:val="00DB003B"/>
    <w:rsid w:val="00DE3F62"/>
    <w:rsid w:val="00E06DF7"/>
    <w:rsid w:val="00E146A4"/>
    <w:rsid w:val="00E30A00"/>
    <w:rsid w:val="00E32B26"/>
    <w:rsid w:val="00E337D6"/>
    <w:rsid w:val="00E413EE"/>
    <w:rsid w:val="00E52AA8"/>
    <w:rsid w:val="00E930A0"/>
    <w:rsid w:val="00EA2163"/>
    <w:rsid w:val="00ED2603"/>
    <w:rsid w:val="00ED619E"/>
    <w:rsid w:val="00EE30D8"/>
    <w:rsid w:val="00EF47B9"/>
    <w:rsid w:val="00EF7C2F"/>
    <w:rsid w:val="00F220A1"/>
    <w:rsid w:val="00F37D47"/>
    <w:rsid w:val="00F76659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9203C3"/>
  <w15:docId w15:val="{6971F90F-43B1-40E1-933F-D25C1C3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9E"/>
  </w:style>
  <w:style w:type="paragraph" w:styleId="Heading1">
    <w:name w:val="heading 1"/>
    <w:basedOn w:val="Normal"/>
    <w:next w:val="Normal"/>
    <w:link w:val="Heading1Char"/>
    <w:uiPriority w:val="9"/>
    <w:qFormat/>
    <w:rsid w:val="009D1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DHHSbody"/>
    <w:link w:val="Heading2Char"/>
    <w:uiPriority w:val="1"/>
    <w:qFormat/>
    <w:rsid w:val="00AD4B19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color w:val="006FB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C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59E"/>
    <w:rPr>
      <w:color w:val="0000FF"/>
      <w:u w:val="single"/>
    </w:rPr>
  </w:style>
  <w:style w:type="table" w:styleId="TableGrid">
    <w:name w:val="Table Grid"/>
    <w:basedOn w:val="TableNormal"/>
    <w:uiPriority w:val="59"/>
    <w:rsid w:val="0006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08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C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5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C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464C"/>
    <w:pPr>
      <w:spacing w:after="0" w:line="240" w:lineRule="auto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NumberedHeadingsBold">
    <w:name w:val="Numbered Headings Bold"/>
    <w:basedOn w:val="Normal"/>
    <w:rsid w:val="002A464C"/>
    <w:pPr>
      <w:numPr>
        <w:numId w:val="2"/>
      </w:numPr>
      <w:autoSpaceDE w:val="0"/>
      <w:autoSpaceDN w:val="0"/>
      <w:adjustRightInd w:val="0"/>
      <w:spacing w:before="240" w:after="120" w:line="240" w:lineRule="auto"/>
      <w:ind w:left="360"/>
    </w:pPr>
    <w:rPr>
      <w:rFonts w:ascii="Arial" w:eastAsia="Times New Roman" w:hAnsi="Arial" w:cs="Times New Roman"/>
      <w:b/>
      <w:bCs/>
      <w:color w:val="000000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8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C48"/>
  </w:style>
  <w:style w:type="paragraph" w:styleId="Footer">
    <w:name w:val="footer"/>
    <w:basedOn w:val="Normal"/>
    <w:link w:val="FooterChar"/>
    <w:uiPriority w:val="99"/>
    <w:unhideWhenUsed/>
    <w:rsid w:val="00A85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C48"/>
  </w:style>
  <w:style w:type="character" w:customStyle="1" w:styleId="Heading2Char">
    <w:name w:val="Heading 2 Char"/>
    <w:basedOn w:val="DefaultParagraphFont"/>
    <w:link w:val="Heading2"/>
    <w:uiPriority w:val="1"/>
    <w:rsid w:val="00AD4B19"/>
    <w:rPr>
      <w:rFonts w:ascii="Arial" w:eastAsia="Times New Roman" w:hAnsi="Arial" w:cs="Times New Roman"/>
      <w:b/>
      <w:color w:val="006FB7"/>
      <w:sz w:val="28"/>
      <w:szCs w:val="28"/>
    </w:rPr>
  </w:style>
  <w:style w:type="paragraph" w:customStyle="1" w:styleId="Subheading2BAE">
    <w:name w:val="*Subheading 2_BAE"/>
    <w:basedOn w:val="Normal"/>
    <w:next w:val="Normal"/>
    <w:rsid w:val="00AD4B19"/>
    <w:pPr>
      <w:keepNext/>
      <w:tabs>
        <w:tab w:val="left" w:pos="340"/>
      </w:tabs>
      <w:spacing w:before="80" w:after="40" w:line="380" w:lineRule="exact"/>
      <w:ind w:left="-170"/>
    </w:pPr>
    <w:rPr>
      <w:rFonts w:ascii="Palatino Linotype" w:eastAsia="Times New Roman" w:hAnsi="Palatino Linotype" w:cs="Times New Roman"/>
      <w:b/>
      <w:bCs/>
      <w:sz w:val="32"/>
      <w:szCs w:val="24"/>
    </w:rPr>
  </w:style>
  <w:style w:type="paragraph" w:customStyle="1" w:styleId="DHHSbody">
    <w:name w:val="DHHS body"/>
    <w:qFormat/>
    <w:rsid w:val="00AD4B19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qFormat/>
    <w:rsid w:val="00AD4B19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education.vic.gov.au/Documents/childhood/providers/regulation/ChildrensServicesRegulations200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individuals/services/centrelink/child-care-subsid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s://www.dese.gov.au/family-assistance-la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cecqa.gov.au/nqf/national-quality-standard" TargetMode="External"/><Relationship Id="rId20" Type="http://schemas.openxmlformats.org/officeDocument/2006/relationships/hyperlink" Target="https://www.dss.gov.au/our-responsibilities/families-and-children/benefits-payments/strengthening-immunisation-for-young-childr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nsw.gov.au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nsw.gov.au/view/html/inforce/current/sl-2011-065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vic.gov.au/Domino/Web_Notes/LDMS/PubStatbook.nsf/f932b66241ecf1b7ca256e92000e23be/B73164FE5DA2112DCA2577BA0014D9ED/$FILE/10-069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4fad7d2438183395a39a28b2d7e7323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86ec64b7ebf63e3ec463ff7dd41fad76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C528-04B5-436E-85A9-E931BF20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764B3-19F6-4FCB-98A5-AFCC1D36C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16F16-ED06-4E2D-A783-CCCDB98C9A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7B8426-D29D-4FF0-9C2E-029315289B0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1e538cb-f8c2-4c9c-ac78-9205d03c8849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A7335C-FAB8-4AED-91EC-64D09739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Michelle Chatfield</cp:lastModifiedBy>
  <cp:revision>2</cp:revision>
  <dcterms:created xsi:type="dcterms:W3CDTF">2021-04-28T05:30:00Z</dcterms:created>
  <dcterms:modified xsi:type="dcterms:W3CDTF">2021-04-28T05:30:00Z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{3c28d2d9-f0d2-4d22-837a-0a536adce589}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R2018/086945</vt:lpwstr>
  </property>
  <property fmtid="{D5CDD505-2E9C-101B-9397-08002B2CF9AE}" pid="12" name="RecordPoint_SubmissionCompleted">
    <vt:lpwstr>2018-02-19T11:53:40.2547501+11:00</vt:lpwstr>
  </property>
</Properties>
</file>